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afa3496dd79bf719bf63c129c55c9a81a16357"/>
    <w:p>
      <w:pPr>
        <w:pStyle w:val="Heading3"/>
      </w:pPr>
      <w:r>
        <w:t xml:space="preserve">Более 600 объектов на площади в 13,4 млн «квадратов» введут в Москве к 2025 году – сообщила НСН</w:t>
      </w:r>
    </w:p>
    <w:p>
      <w:pPr>
        <w:pStyle w:val="FirstParagraph"/>
      </w:pPr>
      <w:r>
        <w:t xml:space="preserve">08.08.2023</w:t>
      </w:r>
    </w:p>
    <w:p>
      <w:pPr>
        <w:pStyle w:val="BodyText"/>
      </w:pPr>
      <w:r>
        <w:t xml:space="preserve">С 2023 по 2025 годы в рамках Адресной инвестиционной программы (АИП) и программы реновации планируется реализовать 609 объектов на площади в 13,4 млн «квадратов». Об этом рассказал руководитель Департамента строительства Москвы Рафик Загрутдинов в рамках Московского урбанистического форума.</w:t>
      </w:r>
    </w:p>
    <w:p>
      <w:pPr>
        <w:pStyle w:val="BodyText"/>
      </w:pPr>
      <w:r>
        <w:t xml:space="preserve">Он отметил, что на эти цели столица выделила порядка 2,9 трлн рублей. При этом планируется построить 167 километров дорог, 63 километра линий метрополитена, а также около 10 млн квадратных метров жилья. В планах также опережающие темпы возведения объектов образования, спорта, культуры и здравоохранения.</w:t>
      </w:r>
    </w:p>
    <w:p>
      <w:pPr>
        <w:pStyle w:val="BodyText"/>
      </w:pPr>
      <w:r>
        <w:t xml:space="preserve">Так, системный подход к управлению городом, который был сформирован властями Москвы, позволяет достигать решения самых сложных задач, а также является гарантом развития экономики и социального благополучия жителей столицы.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http://udms.mos.ru/presscenter/news/detail/11760854.html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7608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7608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2024-08-15T05:12:15Z</dcterms:created>
  <dcterms:modified xsi:type="dcterms:W3CDTF">2024-08-15T05:12:15Z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