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512162ae931b66d25c37bf26826bbfca38d10"/>
    <w:p>
      <w:pPr>
        <w:pStyle w:val="Heading3"/>
      </w:pPr>
      <w:r>
        <w:t xml:space="preserve">Москва к 2025 году выделит почти 1 трлн рублей на строительную отрасль – РИАМО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Объем бюджетных ассигнований в столице по адресной инвестиционной программе к 2025 году составит около 1 трлн рублей. Об этом сообщил глава департамента строительства города Рафик Загрутдинов во время подведения итогов 7 месяцев 2023 года на Московском урбанфоруме.</w:t>
      </w:r>
    </w:p>
    <w:p>
      <w:pPr>
        <w:pStyle w:val="BodyText"/>
      </w:pPr>
      <w:r>
        <w:t xml:space="preserve">«Несмотря на внешнеэкономические вызовы, правительство Москвы сохраняет стабильное выделение бюджетных ассигнований, последовательно увеличивая объемы финансирования строительной отрасли. К 2025 году мы приближаемся почти к одному триллиону рублей», – рассказал Загрутдинов.</w:t>
      </w:r>
    </w:p>
    <w:p>
      <w:pPr>
        <w:pStyle w:val="BodyText"/>
      </w:pPr>
      <w:r>
        <w:t xml:space="preserve">Он отметил, что деньги из бюджета распределят на жилищное строительство и возведение объектов социнфраструктуры, включая спортивные объекты, поликлиники, школы и детские сады.</w:t>
      </w:r>
    </w:p>
    <w:p>
      <w:pPr>
        <w:pStyle w:val="BodyText"/>
      </w:pPr>
      <w:r>
        <w:t xml:space="preserve">Москва при этом будет продолжать увеличивать темпы строительства и повышать рост качества городской среды.</w:t>
      </w:r>
    </w:p>
    <w:p>
      <w:pPr>
        <w:pStyle w:val="BodyText"/>
      </w:pPr>
      <w:r>
        <w:t xml:space="preserve">«К 2025 году объемы ввода объектов, в том числе жилья по программе реновации жилищного фонда, вырастут до около 5 млн кв. м ежегодно», – добавил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2024-07-25T11:04:16Z</dcterms:created>
  <dcterms:modified xsi:type="dcterms:W3CDTF">2024-07-25T11:04:16Z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