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60553ccf25872e53012dc09fc8b34594319ae5"/>
    <w:p>
      <w:pPr>
        <w:pStyle w:val="Heading3"/>
      </w:pPr>
      <w:r>
        <w:t xml:space="preserve">Триллион к 2025 году. Москва продолжит выделять средства на строительство – сообщили Аргументы и факты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t xml:space="preserve">Объем бюджетных ассигнований в рамках адресной инвестиционной программы к 2025 году составит почти триллион рублей. Об этом сообщил</w:t>
      </w:r>
      <w:r>
        <w:t xml:space="preserve"> </w:t>
      </w:r>
      <w:r>
        <w:rPr>
          <w:bCs/>
          <w:b/>
        </w:rPr>
        <w:t xml:space="preserve">глава столичного департамента строительства Рафик Загрутдинов</w:t>
      </w:r>
      <w:r>
        <w:t xml:space="preserve"> </w:t>
      </w:r>
      <w:r>
        <w:t xml:space="preserve">в рамках Московского урбанистического форума, подводя итоги работы за семь месяцев 2023 года.</w:t>
      </w:r>
    </w:p>
    <w:p>
      <w:pPr>
        <w:pStyle w:val="BodyText"/>
      </w:pPr>
      <w:r>
        <w:t xml:space="preserve">«Несмотря на внешнеэкономические вызовы, правительство Москвы сохраняет стабильное выделение бюджетных ассигнований, последовательно увеличивая объемы финансирования строительной отрасли. К 2025 году мы приближаемся почти к одному триллиону рублей», — отметил Загрутдинов.</w:t>
      </w:r>
    </w:p>
    <w:p>
      <w:pPr>
        <w:pStyle w:val="BodyText"/>
      </w:pPr>
      <w:r>
        <w:t xml:space="preserve">По его словам, бюджетные средства распределяются на строительство, в частности, объектов социальной инфраструктуры, таких как школы, сады, поликлиники и объекты спорта, а также на жилищное строительство.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http://udms.mos.ru/presscenter/news/detail/11760814.html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2024-07-25T10:57:25Z</dcterms:created>
  <dcterms:modified xsi:type="dcterms:W3CDTF">2024-07-25T10:57:25Z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