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63d0d95e718cad540187c0d5c1418326e39e7"/>
    <w:p>
      <w:pPr>
        <w:pStyle w:val="Heading3"/>
      </w:pPr>
      <w:r>
        <w:t xml:space="preserve">Более 600 объектов площадью 13,4 млн кв. м построят в Москве по АИП и реновации до конца 2025 года – сообщило АГН Москва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В 2023–2025 годах по программе реновации и Адресной инвестиционной программе (АИП) в Москве планируется построить 609 объектов площадью 13,4 млн кв. м. Об этом руководитель департамента строительства Москвы Рафик Загрутдинов сообщил на мероприятии в рамках Московского урбанистического форума.</w:t>
      </w:r>
    </w:p>
    <w:p>
      <w:pPr>
        <w:pStyle w:val="BodyText"/>
      </w:pPr>
      <w:r>
        <w:t xml:space="preserve">«Всего за период с 2023 по 2025 годы в рамках АИП и программы реновации департаментом строительства планируется реализовать 609 объектов на площади в 13,4 млн кв. м. На эти цели городом выделено финансирование в размере порядка 2,9 трлн руб. В том числе нам предстоит построить 167 км дорог, 63 км линий метрополитена и порядка 10 млн кв. м жилья. В планах также опережающие темпы строительства объектов образования, здравоохранения, спорта, культуры и других важных для комфортной жизни горожан объектов», – сказал Загрутдинов.</w:t>
      </w:r>
    </w:p>
    <w:p>
      <w:pPr>
        <w:pStyle w:val="BodyText"/>
      </w:pPr>
      <w:r>
        <w:t xml:space="preserve">Он также подчеркнул, что системный подход к управлению городом, сформированный мэром Москвы Сергеем Собяниным, позволяет достигать решения самых сложных задач и является гарантом развития экономики и социального благополучия москвичей.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http://udms.mos.ru/presscenter/news/detail/11760798.html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2025-02-13T15:07:02Z</dcterms:created>
  <dcterms:modified xsi:type="dcterms:W3CDTF">2025-02-13T15:07:02Z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